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sz w:val="18"/>
          <w:szCs w:val="18"/>
        </w:rPr>
      </w:pPr>
      <w:bookmarkStart w:id="0" w:name="__DdeLink__362_1130392489"/>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w:t>
      </w:r>
      <w:bookmarkEnd w:id="0"/>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107/413/23</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1" w:name="_GoBack"/>
      <w:bookmarkEnd w:id="1"/>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Calibri" w:cs="Times New Roman" w:ascii="Arial" w:hAnsi="Arial"/>
          <w:b/>
          <w:bCs/>
          <w:color w:val="00000A"/>
          <w:kern w:val="0"/>
          <w:sz w:val="18"/>
          <w:szCs w:val="18"/>
          <w:lang w:val="pl-PL" w:eastAsia="en-US" w:bidi="ar-SA"/>
        </w:rPr>
        <w:t>WYROBY MEDYCZNE (ŚRODKI DEZYNFEKCYJNE)</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11656</TotalTime>
  <Application>LibreOffice/5.4.3.2$Windows_x86 LibreOffice_project/92a7159f7e4af62137622921e809f8546db437e5</Application>
  <Pages>4</Pages>
  <Words>1627</Words>
  <Characters>10436</Characters>
  <CharactersWithSpaces>12001</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2023-02-16T12:45:59Z</dcterms:modified>
  <cp:revision>114</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